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обосновывает ходатайство об отсрочке уплаты государственной пошлины сложным имущественным положением, обусловленным отсутствием денежных средств на счете. Согласно статье 102 Арбитражного процессуального кодекса Российской Федерации (далее – Кодекс) и пункту 2 статьи 333.22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плательщика. Согласно пункту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и подтвержденные банком (банками) данные об отсутствии на соответствующем 2 счете (счетах) денежных средств в размере, необходимом для уплаты государственной пошлины. Упомянутый комплект документов, отражающих имущественное положение, обществом не представлен, поэтому ходатайство об отсрочке уплаты госпошлины удовлетворению не подлежит. Согласно пункту 1 части 1 статьи 291.5 Кодекса Российской Федерации кассационная жалоба возвращается без рассмотрения по существу, если она не отвечает требованиям части 5 статьи 291.3 Кодекса. Учитывая, что ходатайство об отсрочке уплаты госпошлины заявляется в качестве альтернативы необходимого представления документа о ее уплате и отклонено, требования к оформлению кассационной жалобы считаются не соблюденными и жалоба подлежит возврату. Руководствуясь статьей 184, пунктом 1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«ВВ Проджектс» в предоставлении отсрочки уплаты государственной пошлины за подачу кассационной жалобы на решение Арбитражного суда Свердловской области от 15.06.2020 по делу № А60-12941/2020, постановление Семнадцатого арбитражного апелляционного суда от 22.09.2020 и постановление Арбитражного суда Уральского округа от 01.12.2020 по тому же делу. Возвратить обществу с ограниченной ответственностью «ВВ Проджектс» кассационную жалобу.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