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определениями Арбитражного суда Иркутской области от 21.12.2015 утверждено мировое соглашение; производство по делу прекращено. Постановлениями Арбитражного суда Восточно-Сибирского округа от 21.06.2016 определения суда первой инстанции от 21.12.2015 об утверждении мирового соглашения, о прекращении производства по делу 2 отменены, дело направлено на новое рассмотрение в Арбитражный суд Иркутской области. Решением суда первой инстанции от 17.02.2020, оставленным без изменения постановлениями Четвертого арбитражного апелляционного суда от 22.05.2020 и Арбитражного суда Восточно-Сибирского округа от 22.09.2020, в удовлетворении иска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существенное нарушение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обоснование исковых требований общество (подрядчик) ссылается на неисполнение со стороны учреждения (заказчик) обязательств по оплате фактически выполненных работ, предусмотренных государственным контрактом от 14.04.2014 № 67/2013-ОАЭФ. Оценив представленные в материалы дела доказательства, суды, руководствуясь положениями статьи 72 Бюджетного кодекса Российской Федерации, статьи 1102, пункта 4 статьи 1109 Гражданского кодекса Российской Федерации, Градостроительного кодекса Российской Федерации, Федерального закона от 12.01.1996 № 7-ФЗ «О некоммерческих организациях», Федерального закона от 21.07.2005 № 94-ФЗ «О размещении заказов на поставки товаров, выполнение работ, оказание услуг для государственных и муниципальных нужд» (действовал во время возникновения спорных правоотношений, далее - Закон № 94-ФЗ), принимая во внимание обстоятельства, установленные по результатам рассмотрения дела № А19-19391/2016 Арбитражного суда Иркутской области, пришли к выводу об отсутствии оснований для удовлетворения иска. При этом судебные инстанции исходили из того, что фактическое выполнение истцом работ в условиях отсутствия государственного контракта, заключенного с соблюдением требований, предусмотренных Законом № 94-ФЗ, не может влечь возникновения на стороне ответчика неосновательного обогащения. 3 Кроме того, при исследовании обстоятельств дела № А19-19391/2016 суды установили, что работы по перепрофилированию лаборатории учебных факторов и сельскохозяйственных машин в бассейн выполнены без согласования технической документации и без специального разрешения на проведение переоборудования помещения. Доводы жалобы повторяют позицию общества по спору,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основаны на ином толковании норм права.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Строительно-производственная компания «Анит»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