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30.12.2020 с ходатайством о восстановлении срока. Пропуск срока на подачу жалобы общество считает обусловленным переводом работников на удаленный режим работы в связи с введением ограничительных мер из-за распространения коронавирусной инфекции. Указанные обстоятельства не свидетельствуют о наличии требуемых для восстановления срока частью 2 статьи 291.2 Арбитражного процессуального кодекса Российской Федерации объективных препятствий своевременного обращения с кассационной жалобой, учитывая избранный обществом электронный способ подачи жалобы. Обозначенная причина не создает основания к восстановлению срока, поэтому в удовлетворении ходатайства о нем следует отказать.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восстановлении срока подачи кассационной жалобы на решение Арбитражного суда Вологодской области от 03.03.2020 по делу № А13-20123/2019, постановление Четырнадцатого арбитражного апелляционного суда от 11.06.2020 и постановление Арбитражного суда Северо-Западного округа от 13.10.2020 по тому же делу. Кассационную жалобу публичного акционерного общества «Страховая компания «Росгосстрах»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