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25.02.2020, оставленным без изменения постановлением Девятого арбитражного апелляционного суда от 07.07.2020 и постановлением Арбитражного суда Московского округа от 29.09.2020,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между учреждением (государственный заказчик) и обществом (исполнитель) по результатам электронного аукциона заключен государственный контракт от 20.11.2018 № 208/18-СД на выполнение работ по установке металлического барьерного ограждения сбоку от оси проезжей части. Ненадлежащее исполнение обществом обязательств по контракту послужило основанием для принятия учреждением решения от 27.12.2018 об одностороннем отказе от исполнения указанного контракта и направления в антимонопольный орган заявления о включении сведений об обществе в реестр недобросовестных поставщиков. Решением управления от 01.03.2019 № РНП-2143/19 в удовлетворении заявления отказано. Не согласившись с решением управления, заявитель обратился в арбитражный суд.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суды трех инстанций пришли к выводу о том, что решение управления соответствует положениям действующего законодательства и не нарушает права и законные интересы заявителя. Судебные инстанции исходили из доказанности обстоятельств нарушения заказчиком требований гражданского и градостроительного законодательства, указав, что в поведении общества отсутствовали признаки недобросовестности. Суды установили, что разрешение на строительство выдано обществу заказчиком 05.12.2018, то есть за пределами срока выполнения работ, предусмотренного пунктом 6.1 контракта, что свидетельствует о недобросовестности действий заказчика, а не исполнителя. Кроме того, после направления решения об одностороннем отказе от исполнения контракта общество письмом от 29.12.2018 уведомило учреждение об окончании работ по контракту, просило о создании комиссии для приемки работ. В нарушение пунктов 10.1, 10.2, 10.3, 10.8, 10.9 контракта, положений статей 720 , 753 Гражданского кодекса Российской Федерации учреждение комиссию по приемке выполненных работ не сформировало, к приемке выполненных работ не приступило, чем допустило нарушение пункта 14 статьи 95 Закона о контрактной системе. Согласно акту экспертизы от 21.01.2019 № 8.021.19.76/01-19 работы выполнены обществом в полном объеме, несмотря на то, что учреждение в одностороннем порядке расторгло контракт. С учетом изложенного суды согласились с выводами антимонопольного органа об отсутствии оснований для включения общества в реестр недобросовестных поставщиков.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«Федеральное управление автомобильных дорог «Центральная Россия» Федерального дорожного агентства»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Федеральное казенное учреждение "Федеральное управление автомобильных дорог "Центральная Россия" Федерального дорожного агентства" (подробнее) Ответчики: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