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26.02.2020, оставленным без изменения постановлением Девятого арбитражного апелляционного суда от 13.07.2020, в удовлетворении заявленного требования отказано. 2 Постановлением Арбитражного суда Московского округа от 20.10.2020 указанные судебные акты частично отменены, оспариваемое постановление признано незаконным и отменено в части размера штрафа, превышающего 300 000 рублей, в удовлетворении остальной части заявленного требования отказано. Общество обратилось в Верховный Суд Российской Федерации с кассационной жалобой, в которой просит принятые по делу судебные акты в части отказа в удовлетворении требования отменить, считая их принятыми с нарушением норм материального и процессуального права.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Переквалификация судом округа совершенного деяния с части 5 статьи 6.13 КоАП г.Москвы на часть 4 статьи 6.13 КоАП г.Москвы не противоречит правовой позиции Верховного Суда Российской Федерации, изложенной в Определении от 28.03.2018 № 305-АД17-18495 (процитирована в Обзоре судебной практики Верховного Суда Российской Федерации № 3 (2018), утвержденном Президиумом Верховного Суда Российской Федерации 14.11.2018), а также в пункте 20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в соответствии с которой в рассматриваемом случае оснований для полного признания постановления административного органа незаконным не имеется, оно подлежит признанию таковым лишь в части, превышающей размер штрафа, исчисленного при надлежащей квалификации. При этом событие вмененного правонарушения в жалобе не оспаривается. 3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