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Алимова Надежда Александровна обратилась в суд с заявлением о признании недействительной сделки по перечислению должником денежных средств в адрес Семисаженовой Яны Андреевны за период с февраля 2016 года по август 2017 года в общем размере 1 295 000 рублей; применении последствий недействительности сделки. Определением Арбитражного суда города Москвы от 29.06.2020, оставленным без изменения постановлениями Девятого арбитражного апелляционного суда от 24.08.2020 и Арбитражного суда Московского округа от 12.11.2020,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181, 199 Гражданского кодекса Российской Федерации, статьями 2, 61.2, 61.9, 213.6 Федерального закона от 26.10.2002 № 127-ФЗ «О несостоятельности (банкротстве)», исходили из наличия совокупности условий для признания недействительной оспариваемой сделки, заключенной неплатёжеспособным должником в период подозрительности с целью причинения вреда имущественным правам кредиторов путём безвозмездного перечисления денежных средств в отсутствие встречного исполнения, мотивированно отклонив возражения заявителя о пропуске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Кузовлеву Ярославу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