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Челябинской области от 21.01.2020, оставленным без изменения постановлением Восемнадцатого арбитражного апелляционного суда от 18.05.2020, иск удовлетворен. Постановлением Арбитражного суда Уральского округа от 16.09.2020 указанные судебные акты отменены, дело направлено на новое рассмотрение в суд первой инстанции. 2 Управление обратилось в Верховный Суд Российской Федерации с кассационной жалобой, в которой просит постановление суда округа отменить, считая его принятым с нарушением норм материального и процессуального права. Изучив изложенные в кассационной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Суд округа отменил судебные акты судов первой и апелляционной инстанций и направил дело на новое рассмотрение, действуя в пределах полномочий, предоставленных ему статьей 287 Арбитражного процессуального кодекса Российской Федерации, по основаниям, предусмотренным статьей 288 названного Кодекса. При этом суд округа указал на необходимость судам с учетом доводов и возражений лиц, участвующих в деле, и имеющихся доказательств установить обстоятельства, имеющие значение для дела, и с учетом результата их оценки в совокупности и взаимосвязи принять обоснованное решение.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Поскольку заявитель в силу части 1 статьи 41 Арбитражного процессуального кодекса Российской Федерации не лишен возможности приводить свои доводы по всем возникающим в ходе рассмотрения дела 3 вопросам, представлять доказательства, а также отстаивать свою позицию доступными процессуальными способами при новом рассмотрении спора,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 Учитывая изложенное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