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10.03.2020, оставленным без изменения постановлением Пятнадцатого арбитражного апелляционного суда от 28.05.2020, в иске отказано. 2 Постановлением Арбитражного суда Северо-Кавказского округа от 15.09.2020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исключить из мотивировочной части постановления суда округа указание «В письме от 28.08.2019 учреждение просит продлить срок проведения государственной экспертизы на 20 рабочих дней, то есть в срок до 25.09.2019 включительно».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716, 719, 763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иске, признав, что результат работ не соответствует условиям контракта и не имеет потребительской ценности для заказчика. Доводы жалобы были предметом исследования судов и получили исчерпывающую правовую оценку исходя из отсутствия доказательств, свидетельствующих о невозможности выполнения работ надлежащего качества либо устранения недостатков в установленные сроки, не согласиться с которыми оснований не имеется. При этом каким образом исключение из мотивировочной части постановления суда округа вышеуказанных выводов повлияет на законность судебных актов при установленных судами обстоятельствах, не указано.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