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задолженности в размере 18 311 609 рублей 59 копеек. Определением Арбитражного суда Московской области от 25.12.2019, оставленным без изменения постановлениями Десятого арбитражного апелляционного суда от 13.08.2020 и Арбитражного суда Московского округа от 05.11.2020,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170 Гражданского кодекса Российской Федерации, статьями 19,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требование основано на имеющей признаки мнимой сделке заинтересованных лиц, а также учли обстоятельства невостребования задолженности вплоть до возбуждения дела о банкротстве должника, в связи с чем отказали в удовлетворении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«Луч»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