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взыскании с Садовниковой Анны Викторовны (далее – ответчик) в пользу должника в порядке пункта 1 статьи 308.3 Гражданского кодекса Российской Федерации судебной неустойки в размере 3 000 рублей за каждый день неисполнения определения Арбитражного суда города Москвы от 03.06.2019 по настоящему делу, начиная с даты вступления судебного акта в законную силу и по день фактического исполнения названного определения. Определением Арбитражного суда города Москвы от 10.03.2020, оставленным без изменения постановлениями Девятого арбитражного апелляционного суда от 14.07.2020 и Арбитражного суда Московского округа от 05.10.2020,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тем,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 первой инстанции, руководствуясь положениями статьи 308.3 Гражданского кодекса Российской Федерации, пунктами 28, 31, 32, 34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исходил из отсутствия у ответчика возможности исполнить судебный акт о возврате в конкурсную массу должника автотранспортного средства по независящим причинам (арест данного имущества в рамках расследуемого уголовного дела).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Садовникова Юрия Петровича Алексееву Кириллу Андреевичу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