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Вологодской области от 09.06.2020, оставленным без изменения постановлением Четырнадцатого арбитражного апелляционного суда от 13.08.2020, иск удовлетворен в части взыскания с общества в пользу учреждения 1 200 000 рублей штрафов, в удовлетворении остальной части иска отказано. 2 Постановлением Арбитражного суда Северо-Западного округа от 22.10.2020 указанные судебные акты оставлены без изменения. Учреждение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330, 431, 702, 763 Гражданского кодекса Российской Федерации,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удовлетворили иск частично, определив с учетом условий контракта вид нарушенного обязательства и снизив неустойку на основании статьи 333 Гражданского кодекса Российской Федерации. Доводы жалобы были предметом исследования судов и получили исчерпывающую правовую оценку, не согласиться с которыми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