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признании недействительной сделкой совершённого должником 21.04.2017 платежа на сумму 3 900 000 рублей в пользу общества; применении последствия её недействительности. Определением Арбитражного суда города Санкт-Петербурга и Ленинградской области от 21.11.2019, оставленным без изменения постановлениями Тринадцатого арбитражного апелляционного суда от 17.02.2020 и постановление Арбитражного суда Северо-Западного округа от 03.08.2020, заявление удовлетворено. В кассационной жалобе, поданной в Верховный Суд Российской Федерации, заявитель просит отменить названные судебные и принять по делу новый судебный акт об отказе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61.3, 134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исходили из доказанности совокупности условий для признания недействительным оспариваемого платежа, совершённого в течение месяца до принятия судом заявления о признании должника банкротом за пределами обычной хозяйственной деятельности и повлекшего за собой предпочтительное удовлетворение требований общества,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«Седьмое небо»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"Сбербанк России" (подробнее) Ответчики: ООО "Прайм-Строй" (подробнее) Иные лица: к/у Зимин Дмитрий Павлович (подробнее) МИФНС №17 ПО СПБ (подробнее) ООО "ИнвестБизнесПроект" (подробнее) ООО "Спутник"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