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Копылова Л.М. обратилась в суд с заявлением о пересмотре по вновь открывшимся обстоятельствам определения Арбитражного суда Поволжского округа от 03.10.2017 об отказе в восстановлении пропущенного срока и возврате её кассационной жалобы на постановление Одиннадцатого арбитражного апелляционного суда от 22.11.2016, одновременно заявив ходатайство о восстановлении пропущенного срока. Определением Арбитражного суда Поволжского округа от 06.07.2020, оставленным без изменения определением того же суда от 07.09.2020, производство по заявлению прекращено на основании пункта 1 части 1 статьи 150 Арбитражного процессуального кодекса Российской Федерации в связи с отказом в восстановлении пропущенного процессуального срока.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суд округа, руководствуясь положениями статей 309 – 312 Арбитражного процессуального кодекса Российской Федерации, пунктами 13, 19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 из того, что оно подано с пропуском установленного законом срока, а заявителем не приведено убедительных доводов в обоснование невозможности своевременного осуществления процессуальных действий по объективным и независящим от неё причинам. Проверяя обоснованность прекращения производства по заявлению, коллегия суда округа не установила нарушений норм процессуального права и согласилась с указанными выводами.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Копыловой Ларисе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