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Акилова Л.Б. обратилась в суд с заявлением о включении в реестр требований кредиторов должника её требования в размере 409 334 рублей. Определением Арбитражного суда Свердловской области от 02.06.2020, оставленным без изменения постановлениями Семнадцатого арбитражного апелляционного суда от 31.07.2020 и Арбитражного суда Уральского округа от 28.10.2020,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807, 808 Гражданского кодекса Российской Федерации, статьями 71, 100, 213.24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доказательств, подтверждающих факты выдачи должнику займа, финансовой возможности, в том числе экономической целесообразности для его предоставления заинтересованным лицом без условия о начислении процентов при столь длительном использовании заёмных денежных средств, в связи с чем пришли к выводу об отсутствии оснований для удовлетворения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Акиловой Любови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