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16.12.2019 в удовлетворении заявленных требований отказано. Постановлением Второго арбитражного апелляционного суда от 15.06.2020 решение суда первой инстанции отменено, заявление учреждения удовлетворено. Арбитражный суд Волго-Вятского округа постановлением от 17.09.2020 постановление суда апелляционной инстанции оставил без изменения. 2 В кассационной жалобе, поданной в Верховный Суд Российской Федерации, администрация, ссылаясь на существенное нарушение норм права,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учреждения (победитель конкурса) на действия заказчика (администрация), отказавшего в принятии банковской гарантии, выданной в качестве обеспечения исполнения муниципального контракта, и признавшего решением, оформленным протоколом от 30.08.2019, победителя конкурса в электронной форме на выполнение научно-исследовательской работы, уклонившимся от заключения контракта, антимонопольным органом принято решение. Решением управления жалоба учреждения признана необоснованной. Указанные обстоятельства послужили основанием для обращения учреждения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309, 314, 329, 368, 431, 766, 769, 773, 778 Гражданского кодекса Российской Федерации, статьи 45, части 3 статьи 96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суд апелляционной инстанции пришел к выводу об отсутствии у администрации и управления достаточных оснований для принятия оспариваемых решений, с чем согласился суд округа. Судебные инстанции исходили из соответствия банковской гарантии, предоставленной победителем конкурса в качестве обеспечения исполнения контракта, требованиям действующего законодательства. При исследовании обстоятельств дела установлено, что срок исполнения подрядчиком своих обязательств определяется конечным сроком выполнения работ по муниципальному контракту, указанным в пункте 1.3 проекта контракта (01.12.2020); представленная учреждением банковская гарантия от 3 28.08.2019 № 450087 имела срок действия до 01.01.2021, что соответствовало части 3 статьи 96 Закона о контрактной системе; предложенный ответчиками порядок исчисления срока исполнения обязательств (в том числе с учетом пункта 5.2 проекта контракта) носит неопределенный характер, не учитывает существа обязательства, специфики выполнения научно-исследовательской работы и ее этапов (приложение 1 к техническому заданию).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Кирова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