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Пашян Р.И. обратился в суд с заявлением о включении в реестр требований кредиторов должника его требования в размере 115 765 000 рублей. Определением Арбитражного суда города Москвы от 27.01.2020 заявление удовлетворено. Постановлением Девятого арбитражного апелляционного суда от 02.07.2020, оставленным без изменения постановлением Арбитражного суда Московского округа от 14.09.2020, вышеуказанное определение отменено; требование заявителя признано необоснованным.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руководствуясь статьёй 317 Гражданского кодекса Российской Федерации, статьями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признал необоснованным требование заявителя, не представившего доказательств наличия у него финансовой возможности для предоставления должнику займа в столь значительном размере и не раскрывшего разумных экономических мотивов его предоставления без условия о начислении процентов с учётом долгосрочного характера отношений.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Пашяну Рафаилу Ишхановичу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