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26.05.2020, оставленным без изменений постановлением Девятого арбитражного апелляционного суда от 29.07.2020, в удовлетворении требования отказано. 2 Постановлением Арбитражного суда Московского округа от 27.10.2020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нарушения обществом как генеральным подрядчиком требований проектной документации при строительстве объекта капитального строительства. Частью 1 статьи 9.4 Кодекса Российской Федерации об административных правонарушениях установлена ответственность за нарушение требований технических регламентов, проектной документации,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проектировании, строительстве, реконструкции или капитальном ремонте объектов капитального строительства, в том числе при применении строительных материалов (изделий). Оценив представленные доказательства, руководствуясь положениями статей 52, 53, 54 Градостроительного кодекса Российской Федерации, Федерального закона от 30.12.2009 № 384-ФЗ «Технический регламент о безопасности зданий и сооружений», суды пришли к выводу о доказанности в действиях общества состава административного правонарушения, ответственность за которое предусмотрена частью 1 статьи 9.4 Кодекса Российской Федерации об административных правонарушениях. 3 Вина общества состоит в том, что им не были приняты все необходимые и достаточные меры для надлежащего исполнения обязательных требований при строительстве объекта капитального строительства. Судами проверены процедура и срок давности привлечения к административной ответственности, наказание в виде штрафа назначено в пределах санкции нормы. Доводы жалобы были предметом исследования судов и получили исчерпывающую правовую оценку, в том числе, исходя из установленных обстоятельств, свидетельствующих о наличии оснований для проведения проверки, соблюдении порядка проведения проверки и привлечения к административной ответственности, положений пунктов 3, 4 части 4 статьи 28.1, статей 28.2 и 28.3 Кодекса Российской Федерации об административных правонарушениях, пункта 3 части 5 статьи 54 Градостроительного кодекса Российской Федерации,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