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31.01.2018, оставленным без изменения постановлением Десятого арбитражного апелляционного суда от 04.02.2020 и постановлением Арбитражного суда Московского округа от 07.09.2020, иск удовлетворен. В кассационных жалобах, поданных в Верховный Суд Российской Федерации, общество (конкурсный кредитор компании) и конкурсный управляющий компании просят отменить указанные судебные акты, ссылаясь на нарушение судами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кассационных жалоб не установлено. Как следует из судебных актов, требования управления (генподрядчик) мотивированы тем, что компания (заказчик) не исполнила обязательства по оплате работ, выполненных управлением в рамках договора от 15.04.2012 № МСУ-22/2012.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309, 310, 702, 711, 720, 740, 746, 753 Гражданского кодекса Российской Федерации, разъяснениями, приведенными в информационном письме Высшего Арбитражного Суда Российской Федерации от 24.01.2000 № 51 «Обзор практики разрешения споров по договору строительного подряда», суды первой и апелляционной инстанций пришли к выводу о наличии оснований для удовлетворения иска, исходя из установленных обстоятельств, подтверждающих наличие у компании обязанности по оплате выполненных управлением работ. С указанными выводами судов первой и апелляционной инстанций впоследствии согласился суд округа. Доводы кассационных жалоб были предметом рассмотрения судов и получили правовую оценку, не опровергают выводы судов, по существу направлены на переоценку установленных фактических обстоятельств и не подтверждают существенных нарушений норм материального и процессуального права, повлиявших на исход дела. Определением Верховного Суда Российской Федерации от 13.11.2020 компании предоставлена отсрочка по уплате государственной пошлины при подаче кассационной жалобы до окончания кассационного производства.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Арбитражного процессуального кодекса Российской Федерации подлежит взысканию с заявителя в доход федерального бюджета. В силу части 2 статьи 319 Арбитражного процессуального кодекса Российской Федерации исполнительный лист подлежит выдаче Арбитражным судом Московской области.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«Климентина» и конкурсного управляющего обществом с ограниченной ответственностью «Верхневолжская топливно-энергетическая компания» Малахова Сергея Михайловича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«Верхневолжская топливно-энергетическая компания» в доход федерального бюджета 3000 (три тысячи) рублей государственной пошлины за подачу кассационной жалобы. Поручить Арбитражному суду Московской области выдать исполнительный лист на взыскание госпошлины.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