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20.02.2020, оставленным без изменения постановлением Тринадцатого арбитражного апелляционного суда от 01.06.2020 и постановлением Арбитражного суда Северо-Западного округа от 07.09.2020,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компании (заказчик) мотивированы некачественным выполнением обществом (исполнитель) работ по ремонту редуктора судна в рамках договора от 17.08.2018 № 23. Исследовав и оценив по правилам главы 7 Арбитражного процессуального кодекса Российской Федерации представленные в материалы дела доказательства, установив факт выполнения обществом работ с существенными недостатками, повлекшими невозможность использования редуктора по его назначению, руководствуясь статьями 309, 310, 450, 702, 720, 721, 723 Гражданского кодекса Российской Федерации, суды первой и апелляционной инстанции пришли к выводу о наличии оснований для удовлетворения исковых требований. Суд округа поддержал выводы судов первой и апелляционной инстанций.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«Фиорд»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