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Крым от 23.05.2019 исковые требования удовлетворены. Постановлением Двадцать первого арбитражного апелляционного суда от 10.06.2020 решение суда первой инстанции отменено, в удовлетворении исковых требований отказано. Постановлением Арбитражного суда Центрального округа от 01.09.2020 постановление суда апелляционной инстанции отменено, решение суда первой инстанции оставлено в силе. В кассационной жалобе, поданной в Верховный Суд Российской Федерации, общество, ссылаясь на нарушение судами первой и кассационной инстанций норм права, просит отменить их судебные акты и оставить в силе постановление суда апелляционной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учреждение, обращаясь в арбитражный суд с иском по настоящему делу, сослалось на причинение ущерба неправомерными действиями общества, выразившимися в том, что после проведенных последним в рамках заключенного сторонами контракта земляных работ по прокладке кабеля и установке столбов уличного освещения был разрушен бордюрный камень и прилегающая к нему часть дорожного полотна.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статьей 15 Арбитражного процессуального кодекса Российской Федерации, суд первой инстанции пришел к выводу о наличии оснований для удовлетворения исковых требований, исходя из доказанности совокупности условий, необходимых для взыскания с ответчика ущерба. Суд округа поддержал выводы суда первой инстанции. Приведенные обществом в кассационной жалобе доводы не опровергают выводы названных судов, не подтверждают существенных нарушений судами норм материального и процессуального права, повлиявших на исход дела, а по существу свидетельствуют о несогласии с выводами судов, основанными на исследовании и оценке имеющихся в материалах дела доказательств, и направлены на их переоценку, что не входит в полномочия Верховного Суда Российской Федерации. При указанных обстоятельствах оснований для передачи жалобы для рассмотрения в судебном заседании Судебной коллегии Верховного Суда Российской Федерации не имеется. Поскольку в передаче кассационной жалобы для рассмотрения в судебном заседании Судебной коллегии Верховного Суда Российской Федерации 3 отказано, ходатайство о приостановлении исполнения решения суда первой инстанции рассмотрению не подлежит.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Строительно-торговая компания «Успех»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