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10.02.2020, оставленным без изменения постановлением Двенадцатого арбитражного апелляционного суда от 14.05.2020 и постановлением Арбитражного суда Поволжского округа от 08.09.2020, с учреждения в пользу общества взыскано 35 217 руб. 88 коп. процентов за пользование чужими денежными средствами за период с 21.11.2017 по 02.12.2019,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соответствующий арбитражный суд. В жалобе заявитель выражает несогласие с выводами судов в части отказа в удовлетворении требования о взыскании убытков.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с которыми впоследствии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393 Гражданского кодекса Российской Федерации, пришли к выводу о недоказанности обществом наличия совокупности условий, необходимых для взыскания с учреждения убытков. В обжалуемых судебных актах приведено подробное обоснование выводов, сделанных судами при рассмотрении данного спора. Доводы кассационной жалобы не опровергают выводы судов и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«Саратовский кустовой вычислительный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