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14.01.2019 исковые требования удовлетворены. Постановлением Девятого арбитражного апелляционного суда от 09.06.2020 решение суда первой инстанции отменено, в удовлетворении исковых требований отказано. Постановлением Арбитражного суда Московского округа от 01.09.2020 постановление суда апелляционной инстанции оставлено без изменения. В кассационной жалобе, поданной в Верховный Суд Российской Федерации, компания, ссылаясь на нарушение судами апелляционной 2 инстанции и округа норм материального и процессуального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в порядке, предусмотренном статьей 71 Арбитражного процессуального кодекса Российской Федерации, представленные в материалы дела доказательства, проанализировав условия заключенных сторонами договоров, руководствуясь статьями 421, 431, 711, 746, 753 Гражданского кодекса Российской Федерации, суд апелляционной инстанции пришел к выводу об отсутствии оснований для удовлетворения исковых требований. В частности, суд исходил из отсутствия доказательств выполнения компанией спорных работ и передачи их результата обществу в установленном договорами порядке. Суд округа поддержал выводы апелляционного суда. Доводы кассационной жалобы не опровергают выводы апелляционного и окружного судов и не подтверждают существенных нарушений судами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«ГРОМ»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