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Атакуев Х.М. обратился в суд с заявлением о включении в реестр требований кредиторов должника (далее – реестр) его требования в размере 50 086 719 рублей 31 копейка. Определением Арбитражного суда города Москвы от 20.01.2020, оставленным без изменения постановлениями Девятого арбитражного апелляционного суда от 19.06.2020 и Арбитражного суда Московского округа от 14.09.2020, требование признано обоснованным и подлежащим удовлетворению за счёт имущества, оставшегося после удовлетворения требований реестровых кредиторов.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19, 71, 100, 142 Федерального закона от 26.10.2002 № 127-ФЗ «О несостоятельности (банкротстве)», разъяснениями, содержащимися в Обзоре судебной практики разрешения споров, связанных с установлением в процедурах банкротства требований контролирующих должник и аффилированных с ним лиц, утверждённом Президиумом Верховного Суда Российской Федерации от 29.01.2020, установили, что заявленное требование вытекает из отношений, связанных с участием заявителя - бенефициара в финансировании подконтрольного ему должника, носит корпоративный характер и не может конкурировать с требованиями иных внешних независимых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Атакуеву Хизиру Махмутовичу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