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Грачев Дмитрий Александрович (далее – кредитор) обратился в суд с заявлением о привлечении контролирующих должника лиц – администрации муниципального образования города Алексин (далее – администрация) и бывшего руководителя должника Орешкина А.А. к субсидиарной ответственности в размере, составляющем сумму непогашенной кредиторской задолженности, включенной в реестр требований кредиторов должника, а также расходов на оплату вознаграждения временного управляющего в общем размере 3 331 448 рублей 35 копеек, взыскав указанные денежные средства в солидарном порядке. Определением Арбитражного суда Тульской области от 20.01.2020, оставленным без изменения постановлениями Двадцатого арбитражного апелляционного суда от 25.03.2020 и Арбитражного суда Центрального округа от 21.09.2020, заявленные требования удовлетворены. В кассационной жалобе, поданной в Верховный Суд Российской Федерации, заявитель просит отменить указанные судебные акты в части привлечения его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4 статьи 10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наличие совокупности условий для привлечения наряду с администрацией к субсидиарной ответственности заявителя, не обеспечившего хранение и последующую передачу бухгалтерской и иной финансовой документации, что воспрепятствовало формированию конкурсной массы и проведению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Орешкину Алексею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