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17.01.2020, оставленным без изменения постановлением Второго арбитражного апелляционного суда от 29.05.2020, с управления в пользу общества взыскано 11 110 470,45 рубля, в остальной части первоначального иска отказано, в удовлетворении встречного иска отказано. Постановлением Арбитражного суда Волго-Вятского округа от 23.09.2020 указанные судебные акты оставлены без изменения. Общество в жалобе просит постановления судов апелляционной и кассационной инстанций отменить, решение суда первой инстанции изменить, считая их незаконными и необоснованными в части отказа в удовлетворении требований в полном объеме. Управление просит принятые по делу судебные акты отменить, в удовлетворении первоначального иска отказать, встречный иск удовлетворить. При изучении доводов жалоб, отзыва общества и принятых по делу судебных актов оснований для удовлетворения жалоб не установлено. Оценив представленные доказательства, руководствуясь положениями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310, 333, 404, 702, 708, 711, 720 Гражданского кодекса Российской Федерации, суды удовлетворили первоначальный иск частично, в удовлетворении встречного иска отказали, признав факт выполнения спорных работ, результат которых сдан заказчику (управлению) и принят им, и уменьшив размер исчисленной заказчиком неустойки на основании статьи 333 Гражданского кодекса Российской Федерации. 3 Доводы кассационных жалоб были предметом исследования судов и получили исчерпывающую правовую оценку с учетом представленных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управлением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