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перечисления должником денежных средств в размере 399 944 рублей в пользу Уткина Александра Александровича; применении последствий недействительности сделки. Определением Арбитражного суда города Москвы от 07.02.2020, оставленным без изменения постановлениями Девятого арбитражного апелляционного суда от 23.06.2020 и Арбитражного суда Московского округа от 08.09.2020, в удовлетворении заявления отказано. В кассационной жалобе, поданной в Верховный Суд Российской Федерации, заявитель просит отменить указанные судебные акты и принять по делу новый судебный акт об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 168 Гражданского кодекса Российской Федерации, пунктом 2 статьи 61.2 Федерального закона от 26.10.2002 № 127-ФЗ «О несостоятельности (банкротстве)», пунктами 4 – 6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не установили совокупности условий для признания недействительной оспариваемой сделки по заявленным основаниям как совершённой незаинтересованным лицом со встречным исполнением обязательств, не выходящей за пороки подозрительной сделки и сделки с предпочтением.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Приводимые заявителем в жалобе доводы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«Монтос-Дом» Ганееву Олегу Наильевичу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