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07.02.2020, оставленным без изменения постановлением Тринадцатого арбитражного апелляционного суда от 05.06.2020, заявленные требования удовлетворены. 2 Постановлением Арбитражного суда Северо-Западного округа от 15.09.2020 указанные судебные акты оставлены без изменения. В кассационной жалобе административный орган просит отменить принятые по делу судебные акты, считая их незаконными и необоснованными. Основания для пересмотра судебных актов в кассационном порядке по доводам жалобы отсутствуют. Частью 3 статьи 16.1 Кодекса Российской Федерации об административных правонарушениях предусмотрена административная ответственность за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Оценив представленные доказательства, руководствовался положениями Таможенного кодекса Евразийского экономического союза, разъяснениями, изложенными в пункте 29 Постановления Пленума Верховного Суда Российской Федерации от 24.10.2006 № 18 «О некоторых вопросах, возникающих у судов при применении Особенной части Кодекса Российской Федерации об административных правонарушениях», суды удовлетворили заявленные требования с учетом установленных обстоятельств, связанных со спецификой правоотношений при перемещении товара через таможенную границу, свидетельствующих о недоказанности административным органом в действиях общества состава вмененного административного правонарушения, а именно вины в совершении правонарушения, в отсутствие достаточных доказательств того, что несоответствие количества перевозимого груза было явным и заведомо очевидным. 3 Доводы жалобы по существу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является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