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индивидуальный предприниматель Выщепан Алексей Львович обратился в суд с заявлением о включении в реестр требований кредиторов должника процентов за пользование чужими денежными средствами в сумме 379 149 рублей 36 копеек и судебных расходов в сумме 321 613 рублей 81 копейки. Определением Арбитражного суда Краснодарского края от 27.03.2020, оставленным без изменения постановлениями Пятнадцатого арбитражного апелляционного суда от 11.07.2020 и Арбитражного суда Северо-Кавказского округа от 09.10.2020, заявление удовлетворено. В кассационных жалобах, поданных в Верховный Суд Российской Федерации, заявители просят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статьями 395, 401 Гражданского кодекса Российской Федерации, статьями 71, 100, 137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требование подтверждено документально, заявлено в установленный законом срок и не исполнено должником в отсутствие доказательств вины последнего в просрочке обязательств, в связи с чем пришли к выводам об обоснованности и наличии оснований для его включения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кассационных жалобах доводы заявителей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«Абрис-Агро» и Калинину Андрею Владимировичу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