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«Площадка фортуны» (далее – общество) обратилось в суд с заявлением о включении в реестр требований кредиторов должника (далее – реестр) задолженности в размере 1 379 312 рублей 50 копеек. Определением Арбитражного суда Омской области от 19.03.2020, оставленным без изменения постановлениями Восьмого арбитражного апелляционного суда от 08.07.2020 и Арбитражного суда Западно-Сибирского округа от 28.09.2020,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прекратить производство по обособленному спору.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313, 387 Гражданского кодекса Российской Федерации, статьями 71, 100, 142 Федерального закона от 26.10.2002 № 127-ФЗ «О несостоятельности (банкротстве)», пунктом 12 постановления Пленума Высшего Арбитражного Суда Российской Федерации от 23.07.2009 № 63 «О текущих платежах по денежным обязательствам в деле о банкротстве», исходили из документальной подтвержденности требования, которое не является текущим, не погашено по состоянию на день рассмотрения обоснованности заявления, в связи с чем признали его обоснованным и подлежащим включению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внешнему управляющему акционерным обществом «Территориальный проектный институт «Омскгражданпроект» Литвину Виталию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