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Третяк Тамара Павловна обратилась в суд с заявлением о взыскании с Аваняна Э.А. судебных расходов в размере 90 000 рублей. Определением Арбитражного суда города Москва от 04.03.2020, оставленным без изменения постановлениями Девятого арбитражного апелляционного суда от 14.07.2020 и Арбитражного суда Московского округа от 06.10.2020,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 первой инстанции, руководствуясь статьями 101, 106, 110, 112 Арбитражного процессуального кодекса Российской Федерации, пунктом 18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 обоснованным требование о взыскании судебных расходов с заявителя как лица, не в пользу которого принят судебный акт, сопоставив характер и объём совершённых действий по представительству, их необходимость и разумность.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Аваняну Эдуарду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