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её размер, а также отсрочить (рассрочить) ее уплату в порядке, предусмотренном статьей 333.41 названного Кодекса. Поскольку в данном случае имеются объективные основания для удовлетворения ходатайства и все необходимые документы к ходатайству приложены, суд приходит к выводу о необходимости предоставления отсрочки уплаты государственной пошлины. Руководствуясь статьями 184 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закрытого акционерного общества «Эрлей» удовлетворить. Предоставить закрытому акционерному обществу «Эрлей» отсрочку уплаты государственной пошлины в размере 3 000 рублей до окончания производства по его кассационной жалобе. Судья Е.С. Корнелюк Суд: Верховный Суд РФ (подробнее) Истцы: ЗАО "Эрлей" (подробнее) Ответчики: ООО "СИНТОН" (подробнее) ООО "Синтон-МН" (подробнее) ООО "Фишмастер-сервис"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