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21.08.2019, оставленным без изменения постановлением Первого арбитражного апелляционного суда от 30.10.2019 и постановлением Арбитражного суда Волго-Вятского округа от 02.07.2020, в удовлетворении заявленных требований отказано. В кассационных жалобах, поданных в Верховный Суд Российской Федерации, общества с ограниченной ответственностью «Янтарь», «ОКТАНТ», «Диалан», «АйсМед», РАФЭЛ» и «Фармтатинвест», ссылаясь на существенное нарушение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общества с ограниченной ответственностью (далее – ООО) «АйсМед», «Призма», «Янтарь», «Диалан», «СтарВита», «Кристалл», «СТИМУЛ», «УльтраМед», «ОКТАНТ», «Фармтатинвест», «Башмединвест» и «ПАРЭТ» признаны нарушившими пункт 2 части 1 статьи 11 Федерального закона от 26.07.2006 № 135-ФЗ «О защите конкуренции» (далее - Закон о защите конкуренции), что выразилось в заключении соглашения, реализация которого привела к поддержанию цен на торгах на поставку изделий медицинского назначения. Кроме того, в действиях ООО «РАФЭЛ» установлено нарушение части 5 статьи 11 Закона о защите конкуренции, выразившееся в осуществлении координации экономической деятельности указанных хозяйствующих субъектов по участию в торгах. Предписанием на ООО «РАФЭЛ» возложена обязанность прекратить осуществление экономической координации, приведшей к последствиям, приведенным в пункте 2 части 1 статьи 11 Закона о защите конкуренции. Считая решение антимонопольного органа незаконным, общества обратились с заявлениями в арбитражный суд. ООО «РАФЭЛ» также оспаривает предписание управления. Оценив представленные в материалы дела доказательства, суды, руководствуясь положениями статей 4, 11 Закона о защите конкуренции, правовой позицией, изложенной в пункте 9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Президиумом Верховного Суда Российской Федерации 16.03.2016, пришли к выводу о законности решения и предписания управления ввиду наличия в действиях обществ вменяемых нарушений. Судебные инстанции установили, что последовательные действия хозяйствующих субъектов и их поведение свидетельствуют о достижении соглашения в устной форме, целью которого было поддержание цен и обеспечение участниками картеля победы на торгах на поставку изделий медицинского назначения и его реализация. При этом действия ООО «РАФЭЛ», связанные с использованием для участия в торгах его инфраструктуры и подготовкой заявок обществ его штатными сотрудниками, сводятся к наличию системы распределения торгов и координации экономической деятельности участников картеля со стороны данного общества. Довод ООО «Диалан» о нерассмотрении судом апелляционной инстанции ходатайства о проведении экспертизы не принимается, поскольку данное обстоятельство на правильность принятого постановления не повлияло. Иные доводы, изложенные в кассационных жалобах (в том числе об истечении срока давности по отдельным закупкам, об использовании управлением при производстве по антимонопольному делу недопустимых доказательств, о возможности квалифицировать действия заявителей как заключение допустимых «вертикальных» соглашений), повторяют позиции ООО «Янтарь», ООО «ОКТАНТ», ООО «Диалан», ООО «АйсМед», ООО РАФЭЛ» и ООО «Фармтатинвест» по существу спора, являлись предметом рассмотрения судов и получили правовую оценку с учетом установленных обстоятельств дела. Приведенные доводы не подтверждают существенных нарушений норм материального и процессуального права, которые могли повлиять на исход дела, по существу, выражают несогласие с выводами судов по фактическим обстоятельствам спора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«Янтарь», «ОКТАНТ», «Диалан», «АйсМед», «РАФЭЛ» и «Фармтатинвест»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АйсМед (подробнее) ООО Кристалл (подробнее) ООО ОКТАНТ (подробнее) ООО ПАРЭТ (подробнее) ООО Призма (подробнее) ООО РАФЭЛ (подробнее) ООО УльтраМед (подробнее) ООО Фармтатинвест (подробнее) ООО Янтарь (подробнее) Ответчики: Управление Федеральной антимонопольной службы по РМЭ (подробнее) УФАС по РМЭ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