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Тамбовской области от 27.01.2020, оставленным без изменения постановлением Девятнадцатого арбитражного апелляционного суда от 26.06.2020 и постановлением Арбитражного суда Центрального округа от 21.09.2020, исковые требования удовлетворены. В кассационной жалобе, поданной в Верховный Суд Российской Федерации, компания,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Разрешая спор и удовлетворяя исковые требования, суды руководствовались статьями 309, 310, 454, 450, 453, 455, 456, 469, 470, 474, 475, 513, 670 Гражданского кодекса Российской Федерации, разъяснениями, приведенными в постановлении Пленума Высшего Арбитражного Суда Российской Федерации от 06.06.2014 № 35 «О последствиях расторжения договора», и исходили из условий заключенного сторонами договора купли-продажи, а также выводов экспертного исследования о наличии существенных, неустранимых нарушений требований к качеству товара. Доводы, изложенные в кассационной жалобе, аналогичны доводам, заявлявшимся в судах нижестоящих инстанций, которым дана надлежащая правовая оценка. Поскольку существенных нарушений судами норм материального и процессуального права, повлиявших на исход дела, доводы жалобы не подтверждают, оснований для передачи жалобы для рассмотрения в судебном заседании Судебной коллегии Верховного Суда Российской Федерации не имеется.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«РЕСО-Лизинг»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