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23.12.2020 направил в Верховный Суд Российской Федерации кассационную жалобу и одновременно заявил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2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причины пропуска процессуального срока, учитывая незначительность его пропуска (1 день), суд признает их уважительными. Поскольку ходатайство о восстановлении пропущенного процессуального срока заявлено в пределах установленного срока, причины пропуска срока признаны судом уважительными, данное ходатайство подлежит удовлетворению на основании части 2 статьи 291.2 Арбитражного процессуального кодекса Российской Федерации. Руководствуясь статьями 117, 184,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унитарного предприятия «Промсервис» Федеральной службы исполнения наказаний о восстановлении пропущенного срока удовлетворить, срок на подачу кассационной жалобы восстановить. Судья Верховного Суда А.Г. Першутов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