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Оренбургской области от 21.11.2019 требование Лемдянова А.Н. в сумме 18 260 164 рублей 14 копеек включено в реестр требований кредиторов должника. Постановлением Восемнадцатого арбитражного апелляционного суда от 15.07.2020, оставленным без изменения постановлением Арбитражного суда Уральского округа от 30.09.2020, отменено определение суда первой инстанции от 21.11.2019, отказано во включении требований Лемдянова А.Н. в реестр.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во включении требований Лемдянова А.Н. в реестр,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71 и 100 Федерального закона от 26.10.2002 № 127-ФЗ «О несостоятельности (банкротстве)», исходил из необоснованности требований ввиду отсутствия в материалах дела надлежащих доказательств реальности отношений, положенных в основу требований Лемдянова А.Н., указав на наличие признаков мнимости спорных отношений.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Несогласие заявителя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Лемдянову Андрею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