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26.07.2019 в удовлетворении первоначального иска отказано, встречный иск удовлетворен. Дополнительным решением Арбитражного суда Республики Крым 11.10.2019 требование общества о взыскании с учреждения 315 000,00 рублей удовлетворено. Постановлением Двадцать первого арбитражного апелляционного суда от 27.05.2020 решение суда первой инстанции от 26.07.2019 отменено, первоначальный иск удовлетворен в части взыскания с учреждения в пользу общества задолженности за выполненные работы в сумме 342 000 рублей, признан недействительным односторонний отказ учреждения от исполнения государственного контракта; в удовлетворении встречного иска отказано. Постановлением Арбитражного суда Центрального округа от 09.09.2020 постановление суда апелляционной инстанции оставлено без изменения. Учреждение просит обжалуемые судебные акты отменить, оставить в силе решение суда первой инстанции от 26.07.2020. При изучении доводов жалобы и принятых по делу судебных актов оснований для удовлетворения жалобы не установлено. Отменяя решение суда первой инстанции, суд апелляционной инстанции руководствовался положениями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431, 758, 762 Гражданского кодекса Российской Федерации, и исходил из установленных обстоятельств, свидетельствующих о выполнении обществом заявленных работ надлежащего качества в отсутствие доказательств их оплаты со стороны учреждения, при этом признав, что работы имеют потребительскую ценность; доказательств неисполнения или ненадлежащего исполнения 3 обществом обязательств, предусмотренных государственным контрактом, не выявлено. Доводы кассационной жалобы были предметом исследования судов и получили исчерпывающую оценку с учетом установленных обстоятельств,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