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04.02.2020, оставленным без изменения постановлением Восьмого арбитражного апелляционного суда от 19.06.2020, в иске отказано. 2 Постановлением Арбитражного суда Западно-Сибирского округа от 16.09.2020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права и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450.1, 715, 723 Гражданского кодекса Российской Федерации, суды отказали в иске, признав правомерным односторонний отказ заказчика от исполнения контракта в связи с нарушением исполнителем сроков и несоответствием результата работ условиям контракта. Доводы кассационной жалобы были предметом исследования судов и получили исчерпывающую правовую оценку с учетом установленных судами обстоятельств, свидетельствующих о том, что выявленные недостатки препятствуют использованию результата работ в соответствии с целями заключения контракта, в установленный срок исполнителем недостатки работ не устранены, не согласиться с которой оснований не имеется. Указанные доводы не свидетельствуют о существенных нарушениях судами норм материального права и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