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15.12.2020 направила в Верховный Суд Российской Федерации повторную кассационную жалобу и одновременно заявила ходатайство о восстановлении пропущенного срока. В обоснование пропуска срока ссылается на позднее получение надлежащим образом заверенных копий обжалуемых судебных актов. Согласно части 2 статьи 291.2 Арбитражного процессуального кодекса Российской Федерации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2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срока уважительными. Рассмотрев заявленное ходатайство, судья не находит оснований для его удовлетворения. Доводы о пропуске срока подачи жалобы в связи с поздним получением заверенных копий обжалуемых судебных актов о наличии уважительных причин не свидетельствуют. Заявитель являлась инициатором обращения с кассационной жалобой, ее представитель принимал участие в судебном заседании суда кассационной инстанции. Поскольку заявитель знала о состоявшемся постановлении суда округа, при той степени заботливости и разумной осмотрительности, какая от нее требовалась как от добросовестного участника процесса, она имела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акта, подготовки и подачи кассационной жалобы в предусмотренный законодательством срок. Заявитель имела возможность обратиться в Верховный Суд Российской Федерации путем подачи кассационной жалобы в электронном виде посредством заполнения форм, размещенных на официальном сайте суда в сети Интернет, с использованием системы «Мой Арбитр». С учетом положения части 6 статьи 291.3 Арбитражного процессуального кодекса Российской Федерации о том, что документы, прилагаемые к кассационной жалобе, могут быть представлены в Судебную коллегию 3 Верховного Суда Российской Федерации в электронном виде, правило пункта 1 части 5 статьи 291.3 названного Кодекса о заверении соответствующим судом прилагаемых к кассационной жалобе копий обжалуемых судебных актов и других судебных актов, принятых по делу, при подаче кассационной жалобы не применяется. Заявитель не доказала принятия достаточных мер в целях недопущения пропуска срока на обжалование судебных актов.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Снытко Оксаны Викторовны о восстановлении пропущенного срока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