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Таёкина Марина Тарасовна обратилась в суд с заявлением о признании недействительными сделками платежей на общую сумму 6 000 000 рублей, произведённых должником в пользу Грязнова С.В., применении последствий их недействительности. Определением Арбитражного суда города Москвы от 20.05.2020 в удовлетворении заявления отказано. Постановлением Девятого арбитражного апелляционного суда от 22.07.2020, оставленным без изменения постановлением Арбитражного суда Московского округа от 08.10.2020, вышеуказанное определение отменено; требования конкурсного управляющего должником удовлетворены.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 руководствовался статьями 10, 53.1, 168, 170 Гражданского кодекса Российской Федерации, пунктом 2 статьи 61.2 Федерального закона от 26.10.2002 № 127-ФЗ «О несостоятельности (банкротстве)», пунктами 5,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 из того, что совершение сделок по досрочному изъятию участником должника ранее предоставленного финансирования в условиях имущественного кризиса свидетельствует о злоупотреблении правом и направленности на причинение вреда независимым кредиторам, в связи с чем признал их недействительными.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Грязнову Сергею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