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декабря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федеральное государственное казённое учреждение «9 центр заказчика-застройщика войск национальной гвардии Российской Федерации» (далее – учреждение) обратилось в суд с заявлением о включении в реестр требований кредиторов должника (далее – реестр) его требования в размере 17 783 831 рубля 78 копеек. Определением Арбитражного суда Новосибирской области от 08.06.2020 заявление признано обоснованным и включено в третью очередь реестра. Постановлением Седьмого арбитражного апелляционного суда от 03.08.2020 вышеуказанное определение изменено, требование учреждения в размере 17 783 831 рубля 78 копеек признано обоснованным и подлежащим удовлетворению за счёт имущества должника, оставшегося после погашения требований реестровых кредиторов. Постановлением Арбитражного суда Западно-Сибирского округа от 30.10.2020 отменено постановление апелляционного суда от 03.08.2020, определение суда первой инстанции от 08.06.2020 оставлено в силе. В кассационной жалобе, поданной в Верховный Суд Российской Федерации, заявитель просит отменить постановление суда округа, оставить в силе постановление апелляционного суда. 03.12.2020 от учреждения поступил отзыв на кассационную жалобу заявителя в порядке, предусмотренном статьей 291.4 Арбитражного процессуального кодекса Российской Федерации. 2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актов, доводов кассационной жалобы и поступившего на неё отзыва таких оснований не установлено. Разрешая спор, суд первой инстанции, руководствуясь статьями 100, 142, 213.24 Федерального закона от 26.10.2002 № 127-ФЗ «О несостоятельности (банкротстве)», пунктом 15 постановления Пленума Высшего Арбитражного суда Российской Федерации от 23.07.2009 № 59 «О некоторых вопросах практики применения Федерального закона «Об исполнительном производстве», исходил из обоснованности документально подтверждённого и неисполненного должником требования учреждения, признав не пропущенным срок на подачу заявления, подлежащий исчислению с момента получения кредитором уведомления от конкурсного управляющего о введении в отношении должника процедуры конкурсного производства. Суд округа согласился с данными выводами, отменив постановление апелляционного суда и оставив в силе определение суда первой инстанции. Выводы судов первой инстанции и округа соответствуют нормам права, оснований для переоценки этих выводов не имеется. Существенных нарушений норм материального и (или) процессуального права, которые бы повлияли на исход судебного разбирательства, по доводам кассационной жалобы не установлено.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конкурсному управляющему обществом с ограниченной ответственностью СК «Гранд» Коцареву Павлу Викторовичу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