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27.06.2019 в удовлетворении первоначального иска отказано, встречный иск удовлетворен. Постановлением Двенадцатого арбитражного апелляционного суда от 15.06.2020 решение суда первой инстанции отменено, первоначальный иск удовлетворен частично, с комитета в пользу общества взыскана задолженность в размере 3 372 024,02 рублей, в остальной части первоначального иска отказано; в удовлетворении встречного иска отказано. Постановлением Арбитражного суда Поволжского округа от 21.09.2020 постановление суда апелляционной инстанции оставлено без изменения. Комитет обратился в Верховный Суд Российской Федерации с кассационной жалобой, в которой просит постановления судов апелляционной и кассационной инстанций отменить, решение суда первой инстанции оставить в силе. При изучении доводов жалобы и принятых по делу судебных актов оснований для удовлетворения жалобы не установлено. Отменяя решение суда первой инстанции, суд апелляционной инстанции руководствовался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и исходил из установленных обстоятельств, свидетельствующих о выполнении обществом (подрядчиком) работ на определенную на основании судебной экспертизы сумму, а также из недоказанности вины общества в нарушении сроков и неисполнении обязательств по контракту, в связи с чем, удовлетворил первоначальный иск частично, в удовлетворении встречного иска отказал. Суд округа согласился с выводами суда апелляционной инстанции. Доводы кассационной жалобы были предметом исследования судов апелляционной и кассационной инстанций и получили исчерпывающую оценку с учетом поведения сторон при исполнении контракта, не согласиться с которой оснований не имеется. 3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