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20.01.2020, оставленным без изменения постановлением Девятого арбитражного апелляционного суда от 08.06.2020, иск удовлетворен. 2 Постановлением Арбитражного суда Московского округа от 04.09.2020 указанные судебные акты оставлены без изменения. Ответчик просит обжалуемые судебные акты отменить, считая их принятыми с существенным нарушением норм материального права и норм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иск, признав недоказанным наличие оснований для одностороннего отказа ответчика как заказчика от исполнения контракта. Доводы кассационной жалобы были предметом исследования судов и получили исчерпывающую правовую оценку с учетом представленных доказательств, свидетельствующих о нарушении ответчиком как заказчиком процедуры сдачи-приемки работ, не согласиться с которой оснований не имеется. Приведенная в жалобе судебная практика сама по себе выводы судов не опровергает, поскольку по приведенному в качестве примера делу предметом спора являлись обстоятельства выполнения подрядчиком работ надлежащего качества, а не наличие оснований для отказа от контракта.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