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20.12.2019, оставленным без изменения постановлением Тринадцатого арбитражного апелляционного суда от 05.06.2020, в иске отказано. 2 Постановлением Арбитражного суда Северо-Западного округа от 09.09.2020 указанные судебные акты оставлены без изменения. Общество просит обжалуемые судебные акты отменить, считая их принятыми с существенным нарушением норм материального права и (или)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иске, установив факт ненадлежащего исполнения истцом обязательств по контракту. Доводы кассационной жалобы были предметом исследования судов и получили исчерпывающую правовую оценку с учетом установленных обстоятельств, свидетельствующих о самостоятельной разработке истцом требований к прокладке кабельной линии при наличии у него необходимой информации об объекте работ и имеющейся у заказчика документации,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