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Красноярского края от 24.09.2019, оставленным без изменения постановлением Третьего арбитражного апелляционного суда от 22.05.2020, первоначальный иск удовлетворен, встречный иск удовлетворен частично: с общества «ИнженерЕвроСтрой» в пользу общества «КрасАвиаПорт» взыскано 282 438,97 рублей убытков, 89 100 рублей возмещения расходов по оплате внесудебной экспертизы и 8 618 рублей возмещения расходов по уплате государственной пошлины, в удовлетворении остальной части требований отказано; в результате зачета требований с общества «ИнженерЕвроСтрой» в пользу общества «КрасАвиаПорт» взыскано 584,64 рубля. Постановлением Арбитражного суда Восточно-Сибирского округа от 08.09.2020 указанные судебные акты оставлены без изменения. Общество «ИнженерЕвроСтрой» просит обжалуемые судебные акты в части удовлетворения встречного иска отменить, считая их принятыми с существенным нарушением норм материального права и (или) норм процессуального права в указанной части.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Оценив представленные доказательства, руководствуясь положениями статей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Гражданского кодекса Российской Федерации, суды удовлетворили первоначальный иск, установив факт выполнения работ на заявленную сумму и их потребительскую ценность; встречный иск удовлетворили частично, признав, что заказчик отказался от исполнения 3 контракта в одностороннем порядке в связи с существенным нарушением подрядчиком его условий, после чего заказчиком заключены замещающие сделки. Доводы кассационной жалобы были предметом исследования судов и получили исчерпывающую правовую оценку с учетом оснований досрочного прекращения договора, не согласиться с которой оснований не имеется. Указанные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Учитывая изложенное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