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29.01.2019, оставленным без изменения постановлением Одиннадцатого арбитражного апелляционного суда от 14.05.2020, иск удовлетворен. 2 Определением Арбитражного суда Республики Татарстан от 18.08.2020 в порядке процессуального правопреемства произведена замена взыскателя по делу с корпорации на ее правопреемника – общество. Постановлением Арбитражного суда Поволжского округа от 01.09.2020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Татарстан. В кассационных жалобах, поданных в Верховный Суд Российской Федерации, корпорация и общество, ссылаясь на нарушение судом округа норм процессуального права, просят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участвующих в деле лиц.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Федерации, не имеется. 3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«Корпорация завод нестандартного специального оборудования» и общества с ограниченной ответственностью «Ваши Окна»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