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«Гринфлайт» (ОГРН 1117453020410) обратилось в Арбитражный суд Челябинской области с иском о взыскании с общества с ограниченной ответственностью «Гринфлайт» (ОГРН 1127747105089) 564 331 050 рублей 19 копеек задолженности по договорам займа, 104 076 998 рублей 62 копеек процентов за пользование заемными денежными средствами, 2 746 882 рублей 39 копеек процентов за пользование чужими денежными средствами, начисленных за период с 21.10.2018 по 09.11.2018, с начислением процентов за пользование чужими денежными средствами с 10.11.2018 по день фактического исполнения денежного обязательства. К участию в деле в качестве третьего лица, не заявляющего самостоятельных требований относительно предмета спора, привлечена Федеральная служба по финансовому мониторингу в лице Межрегионального управления по Уральскому федеральному округу. 2 Решением Арбитражного суда Челябинской области от 27.02.2019 иск удовлетворен. Общество с ограниченной ответственностью «Островцы», общество с ограниченной ответственностью «Юридическая компания «Юрлига», общество с ограниченной ответственностью «Управляющая компания «Брокеркредитсервис-фонды недвижимости» в порядке статьи 42 Арбитражного процессуального кодекса Российской Федерации, ссылаясь на то, что они являются кредиторами в деле о банкротстве ООО «Гринфлайт» (ОГРН 1127747105089), и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обратились в суд апелляционной инстанции с жалобой на решение суда первой инстанции. Постановлением Восемнадцатого арбитражного апелляционного суда от 16.06.2020 решение суда первой инстанции отменено, в удовлетворении иска отказано. При рассмотрении кассационной жалобы в окружном суде произведена замена ООО «Управляющая компания «Брокеркредитсервис-фонды недвижимости» на акционерное общество «Альфа-Капитал Альтернативные инвестиции» в порядке процессуального правопреемства в соответствии со статьей 48 Арбитражного процессуального кодекса Российской Федерации. Арбитражный суд Уральского округа постановлением от 12.11.2020 постановление суда апелляционной инстанции отменил и оставил в силе решение суда первой инстанции. Общество с ограниченной ответственностью «Юридическая компания «Юрлига»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3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Удовлетворяя заявленные требования, суд первой инстанции руководствовался положениями статей 309, 310, 807, 810, 811 Гражданского кодекса Российской Федерации и исходил из доказанности факта перечисления истцом денежных средств в заявленной сумме по договорам займа, возникновении на стороне ответчика обязанности по возврату заемных средств и неисполнении данной обязанности.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судом оценкой обстоятельств дела не свидетельствует о неправильном применении судом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«Юрлига»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