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включении в реестр требований кредиторов должника его требования в размере 291 925 544 рублей 19 копеек как обеспеченных залогом имущества должника, одновременно заявив ходатайство о восстановлении срока предъявления своего требования. Определением Арбитражного суда города Москвы от 12.02.2020, оставленным без изменения постановлениями Девятого арбитражного апелляционного суда от 30.06.2020 и Арбитражного суда Московского округа от 02.10.2020, в удовлетворении ходатайства о восстановлении срока и включении вышеуказанного требования как обеспеченного залогом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196, 200, 348, 353, 433, 452 Гражданского кодекса Российской Федерации, статьями 71, 100, 142, 213.24 Федерального закона от 26.10.2002 № 127-ФЗ «О несостоятельности (банкротстве)», пунктом 24 постановления Пленума Верховного Суда РФ от 13.10.2015 № 45 «О некоторых вопросах, связанных с введением в действие процедур, применяемых в делах о несостоятельности (банкротстве) граждан» пришли к выводу о том, что требование банка, осведомлённого надлежащим образом о банкротстве должника и пропустившего без уважительных причин срок на его предъявление, не подлежит включению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«First Heartland Jysan Bank»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