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«Правовед» обратилось в Арбитражный суд города Москвы с иском о взыскании с акционерного общества Коммерческий Банк «Локо-Банк» 3 657 348 рублей 35 копеек убытков. Решением Арбитражного суда города Москвы от 10.02.2020 иск удовлетворен. Постановлением Девятого арбитражного апелляционного суда от 02.07.2020 решение суда первой инстанции отменено, в удовлетворении иска отказано. Арбитражный суд Московского округа постановлением от 19.10.2020 постановление суда апелляционной инстанции оставил без изменения. Общество с ограниченной ответственностью «Правовед»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393 Гражданского кодекса Российской Федерации, Федерального закона от 02.10.2007 № 229-ФЗ «Об исполнительном производстве», Инструкцией Банка России от 30.05.2014 № 153-И,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 апелляционной инстанции сделал вывод об отсутствии совокупности условий, необходимых для применения к ответчику меры гражданско-правовой ответственности в виде взыскания убытков (недоказанности вины, противоправности действий банка и причинной связи между действиями банка и наступившими последствиями).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«Правовед»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