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 «Согласие» обратилось в Арбитражный суд города Москвы с иском к обществу с ограниченной ответственностью «Катерпиллар Файнэншл» об обязании снять с регистрационного учета годные остатки валочно-пакетирующей машины CAT 522В серийный номер САТ052ВАГ7С002018, 2013 года выпуска, а также передать по акту годные остатки валочно-пакетирующей машины CAT 522В серийный номер САТ052ВАГ7С002018, 2013 года выпуска. К участию в деле в качестве третьего лица, не заявляющего самостоятельных требований относительно предмета спора, привлечено акционерное общество «Байкальская строительная компания». Решением Арбитражного суда города Москвы от 14.02.2020 иск удовлетворен. Постановлением Девятого арбитражного апелляционного суда от 13.07.2020 решение суда первой инстанции оставлено без изменения. 2 Арбитражный суд Московского округа постановлением от 30.09.2020 указанные судебные акты оставил без изменения. Общество с ограниченной ответственностью «Катерпиллар Файнэншл»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по делу № А40-2468/17, установив, что, получив страховую выплату в полном объеме, ответчик не исполнил свои обязательства по передаче истцу годных остатков застрахованного имущества и полного комплекта документов, подтверждающих снятие с регистрационного учета застрахованного имущества, руководствуясь положениями статей 307, 309, 310 Гражданского кодекса Российской Федерации, суды признали иск подлежащим удовлетворению.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«Катерпиллар Файнэншл»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