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06.02.2020, оставленным без изменения постановлением Одиннадцатого арбитражного апелляционного суда от 20.05.2020 и постановлением Арбитражного суда Поволжского округа от 02.09.2020,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по вопросам правильности исчисления и своевременности уплаты (удержания, перечисления) предпринимателем налогов и сборов за период с 01.01.2016 по 31.12.2017, по результатам составлен акт от 20.05.2019 № 13-24/7 и вынесено решение о привлечении к ответственности за совершение налогового правонарушения, которым доначислены налог на доходы физических лиц (далее - НДФЛ) за 2016 год в сумме 28 600 рублей, единый налог в связи с применением упрощенной системы налогообложения (далее - УСН) за 2017 год в сумме 741 842 рублей, единый налог на вмененный доход (ЕНВД) за 2016, 2017 годы в сумме 51 232 рублей, страховые взносы на обязательное пенсионное страхование за 2017 год в сумме 123 027 рублей, соответствующие суммы пеней и штрафов. Не согласившись с решением инспекции в части доначислений налога по УСН и страховых взносов, предприниматель обратился в арбитражный суд. Исследовав и оценив представленные доказательства, суды первой и апелляционной инстанций, руководствуясь положениями Налогового кодекса Российской Федерации, Законом Ульяновской области от 02.10.2012 № 129-30 «О патентной системе налогообложения на территории Ульяновской области», разъяснениями, изложенными в пункте 4 Обзора практики рассмотрения судами дел, связанных с применением глав 26.2 и 26.5 Налогового кодекса Российской Федерации в отношении субъектов малого и среднего предпринимательства, утвержденного Президиумом Верховного Суда Российской Федерации 04.07.2018, пришли к выводу о том, что решение налогового органа в оспариваемой части является законным и не нарушает права и законные интересы предпринимателя, с чем согласился суд округа. Судебные инстанции согласились с выводом налогового органа о невозможности применения патентной системы налогообложения ввиду осуществления предпринимателем общестроительных и ремонтных работ в нежилых помещениях.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3 По существу доводы жалобы повторяют позицию заявителя по спору, не опровергают выводы судов, основаны на ином толковании норм материального права, что не может служить основанием для передачи жалобы на рассмотрение в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Карягину Владимиру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